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324E35" w:rsidRDefault="00324E35" w:rsidP="00324E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Pravila i što da ih nema, Izrada razrednih pravila u slučaju nasilja </w:t>
            </w:r>
          </w:p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324E35" w:rsidRDefault="00324E35" w:rsidP="00324E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Ljudsko pravna dimenzija </w:t>
            </w:r>
          </w:p>
          <w:p w:rsidR="00A057E4" w:rsidRPr="00347914" w:rsidRDefault="00A057E4" w:rsidP="00946F99">
            <w:pPr>
              <w:pStyle w:val="Default"/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324E35" w:rsidRDefault="00324E35" w:rsidP="00324E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Prihvatiti pravila i posljedice kršenja kojih se učenici, učitelji i roditelji moraju pridržavati radi zaštite njihovih temeljnih prava </w:t>
            </w:r>
          </w:p>
          <w:p w:rsidR="00A057E4" w:rsidRPr="00347914" w:rsidRDefault="00A057E4" w:rsidP="00347914">
            <w:pPr>
              <w:pStyle w:val="Default"/>
              <w:rPr>
                <w:sz w:val="23"/>
                <w:szCs w:val="23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324E35" w:rsidRDefault="00324E35" w:rsidP="00B605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opisuje i objašnjava što su pravila, statut š</w:t>
            </w:r>
            <w:r w:rsidR="00B60544">
              <w:rPr>
                <w:sz w:val="23"/>
                <w:szCs w:val="23"/>
              </w:rPr>
              <w:t>kole, kuć</w:t>
            </w:r>
            <w:r>
              <w:rPr>
                <w:sz w:val="23"/>
                <w:szCs w:val="23"/>
              </w:rPr>
              <w:t xml:space="preserve">ni red škole, zakoni </w:t>
            </w:r>
          </w:p>
          <w:p w:rsidR="00324E35" w:rsidRDefault="00324E35" w:rsidP="00B605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povezuje pravila i zaštitu dječjih prava </w:t>
            </w:r>
          </w:p>
          <w:p w:rsidR="00324E35" w:rsidRDefault="00324E35" w:rsidP="00B605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objašnjava da su pravila alat za zaštitu dječjih prava u razredu (pravo na osobno dostojanstvo, na sudjelovanje, obrazovanje, izražavanje, razvoj svih svojih sposobnosti (talenata) i druga </w:t>
            </w:r>
          </w:p>
          <w:p w:rsidR="00324E35" w:rsidRDefault="00324E35" w:rsidP="00B605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opisuje kako se u slučaju kršenja pravila na pravedan način treba nadoknaditi šteta ili učinjena nepravda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324E35" w:rsidRDefault="00324E35" w:rsidP="00324E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Uč</w:t>
            </w:r>
            <w:r w:rsidR="00B60544">
              <w:rPr>
                <w:sz w:val="23"/>
                <w:szCs w:val="23"/>
              </w:rPr>
              <w:t>enici ć</w:t>
            </w:r>
            <w:r>
              <w:rPr>
                <w:sz w:val="23"/>
                <w:szCs w:val="23"/>
              </w:rPr>
              <w:t>e ispričati vlastite priče o situacijama kada se nisu pridržavali pravila te de ih usporediti sa izmišljenim situacijama koje opisuju društvo bez pravila. Uč</w:t>
            </w:r>
            <w:r w:rsidR="00B60544">
              <w:rPr>
                <w:sz w:val="23"/>
                <w:szCs w:val="23"/>
              </w:rPr>
              <w:t>enici ć</w:t>
            </w:r>
            <w:r>
              <w:rPr>
                <w:sz w:val="23"/>
                <w:szCs w:val="23"/>
              </w:rPr>
              <w:t>e ukazati na primjere odraslih koji su krš</w:t>
            </w:r>
            <w:r w:rsidR="00B60544">
              <w:rPr>
                <w:sz w:val="23"/>
                <w:szCs w:val="23"/>
              </w:rPr>
              <w:t>ili pravila te ć</w:t>
            </w:r>
            <w:r>
              <w:rPr>
                <w:sz w:val="23"/>
                <w:szCs w:val="23"/>
              </w:rPr>
              <w:t>e opisati ispravno postupanje. Predlož</w:t>
            </w:r>
            <w:r w:rsidR="00B60544">
              <w:rPr>
                <w:sz w:val="23"/>
                <w:szCs w:val="23"/>
              </w:rPr>
              <w:t>it ć</w:t>
            </w:r>
            <w:r>
              <w:rPr>
                <w:sz w:val="23"/>
                <w:szCs w:val="23"/>
              </w:rPr>
              <w:t xml:space="preserve">e i odabrati razredna pravila te izraditi razredni plakat s pravilima u slučaju nasilja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324E35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6 razred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324E35" w:rsidRDefault="00324E35" w:rsidP="00324E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Sat razrednika </w:t>
            </w:r>
          </w:p>
          <w:p w:rsidR="008802A9" w:rsidRPr="00D808A0" w:rsidRDefault="008802A9" w:rsidP="00946F99">
            <w:pPr>
              <w:rPr>
                <w:rFonts w:ascii="Times New Roman" w:eastAsia="DFKai-SB" w:hAnsi="Times New Roman" w:cs="Times New Roman"/>
                <w:b/>
              </w:rPr>
            </w:pP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324E35" w:rsidRDefault="00324E35" w:rsidP="00324E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Frontalno, grupni, individualni rad; rad na tekstu i slikama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324E35" w:rsidRDefault="00324E35" w:rsidP="00324E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radni listovi s opisima situacija kršenja pravila i njihovih bezuvjetnih pridržavanja od strane odraslih i učenika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B60544" w:rsidRDefault="00B60544" w:rsidP="00B605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sata – rujan 2014.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B60544" w:rsidRDefault="00B60544" w:rsidP="00B605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Vrednovanje ć</w:t>
            </w:r>
            <w:r>
              <w:rPr>
                <w:sz w:val="23"/>
                <w:szCs w:val="23"/>
              </w:rPr>
              <w:t xml:space="preserve">e biti iskazano kroz zbirku priča iz osobnog života učenika.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B6054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Razrednik, stručna služba škole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B60544">
        <w:rPr>
          <w:b/>
          <w:i/>
          <w:sz w:val="28"/>
          <w:szCs w:val="28"/>
        </w:rPr>
        <w:t>zvedbeni planovi i programi za 6</w:t>
      </w:r>
      <w:bookmarkStart w:id="0" w:name="_GoBack"/>
      <w:bookmarkEnd w:id="0"/>
      <w:r w:rsidRPr="00052B9A">
        <w:rPr>
          <w:b/>
          <w:i/>
          <w:sz w:val="28"/>
          <w:szCs w:val="28"/>
        </w:rPr>
        <w:t xml:space="preserve">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E45"/>
    <w:multiLevelType w:val="hybridMultilevel"/>
    <w:tmpl w:val="6904595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70A0"/>
    <w:multiLevelType w:val="hybridMultilevel"/>
    <w:tmpl w:val="DA16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26004"/>
    <w:multiLevelType w:val="hybridMultilevel"/>
    <w:tmpl w:val="FC54C110"/>
    <w:lvl w:ilvl="0" w:tplc="C5DE6F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615EE"/>
    <w:multiLevelType w:val="hybridMultilevel"/>
    <w:tmpl w:val="F61045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D52BB"/>
    <w:multiLevelType w:val="hybridMultilevel"/>
    <w:tmpl w:val="22DCB2E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B3F27"/>
    <w:multiLevelType w:val="hybridMultilevel"/>
    <w:tmpl w:val="F4ECC8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D29EB"/>
    <w:multiLevelType w:val="hybridMultilevel"/>
    <w:tmpl w:val="BA40A5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36DE4"/>
    <w:multiLevelType w:val="hybridMultilevel"/>
    <w:tmpl w:val="6390F030"/>
    <w:lvl w:ilvl="0" w:tplc="31F62B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5AA3"/>
    <w:multiLevelType w:val="hybridMultilevel"/>
    <w:tmpl w:val="ABE86B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324E35"/>
    <w:rsid w:val="00347914"/>
    <w:rsid w:val="008353AB"/>
    <w:rsid w:val="008802A9"/>
    <w:rsid w:val="00890356"/>
    <w:rsid w:val="00946F99"/>
    <w:rsid w:val="009C24AB"/>
    <w:rsid w:val="00A057E4"/>
    <w:rsid w:val="00AB4C7D"/>
    <w:rsid w:val="00B60544"/>
    <w:rsid w:val="00CF5EFD"/>
    <w:rsid w:val="00D808A0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2</cp:revision>
  <dcterms:created xsi:type="dcterms:W3CDTF">2014-12-04T10:19:00Z</dcterms:created>
  <dcterms:modified xsi:type="dcterms:W3CDTF">2014-12-04T10:19:00Z</dcterms:modified>
</cp:coreProperties>
</file>